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F3CEC" w14:textId="3DB3F049" w:rsidR="00FB5888" w:rsidRPr="00E2764A" w:rsidRDefault="00FB5888" w:rsidP="00462DD6">
      <w:pPr>
        <w:adjustRightInd/>
        <w:snapToGrid w:val="0"/>
        <w:spacing w:line="240" w:lineRule="auto"/>
        <w:textAlignment w:val="auto"/>
        <w:rPr>
          <w:rFonts w:eastAsia="標楷體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FC66BB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911AB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 w:rsidR="00A33DDB" w:rsidRPr="00E2764A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研究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建言獎</w:t>
      </w:r>
      <w:proofErr w:type="gramEnd"/>
      <w:r w:rsidR="003A3B2C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</w:t>
      </w:r>
      <w:r w:rsidR="0047274B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</w:t>
      </w:r>
      <w:r w:rsidR="00542A47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摘要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說明表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 w:rsidR="008D0163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1.1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</w:p>
    <w:p w14:paraId="18610FA4" w14:textId="77777777" w:rsidR="00FB5888" w:rsidRPr="00E2764A" w:rsidRDefault="00FB5888" w:rsidP="00FB5888">
      <w:pPr>
        <w:pStyle w:val="af1"/>
        <w:wordWrap/>
        <w:spacing w:line="280" w:lineRule="exact"/>
        <w:ind w:left="176"/>
        <w:textAlignment w:val="auto"/>
        <w:rPr>
          <w:rFonts w:ascii="標楷體" w:hAnsi="標楷體"/>
          <w:noProof w:val="0"/>
          <w:color w:val="000000" w:themeColor="text1"/>
          <w:sz w:val="24"/>
          <w:szCs w:val="24"/>
        </w:rPr>
      </w:pPr>
    </w:p>
    <w:p w14:paraId="5EA1BB40" w14:textId="77777777" w:rsidR="00FB5888" w:rsidRPr="00E2764A" w:rsidRDefault="00FB5888" w:rsidP="00D409CB">
      <w:pPr>
        <w:pStyle w:val="af1"/>
        <w:wordWrap/>
        <w:ind w:left="176"/>
        <w:textAlignment w:val="auto"/>
        <w:rPr>
          <w:rFonts w:ascii="標楷體" w:hAnsi="標楷體"/>
          <w:noProof w:val="0"/>
          <w:color w:val="000000" w:themeColor="text1"/>
          <w:sz w:val="24"/>
          <w:szCs w:val="24"/>
        </w:rPr>
      </w:pPr>
      <w:r w:rsidRPr="00E2764A">
        <w:rPr>
          <w:rFonts w:ascii="標楷體" w:hAnsi="標楷體" w:hint="eastAsia"/>
          <w:color w:val="000000" w:themeColor="text1"/>
          <w:szCs w:val="24"/>
        </w:rPr>
        <w:t>本獎</w:t>
      </w:r>
      <w:r w:rsidR="00D409CB">
        <w:rPr>
          <w:rFonts w:ascii="標楷體" w:hAnsi="標楷體" w:hint="eastAsia"/>
          <w:color w:val="000000" w:themeColor="text1"/>
          <w:szCs w:val="24"/>
        </w:rPr>
        <w:t>項以評選</w:t>
      </w:r>
      <w:r w:rsidR="009A4371" w:rsidRPr="009A4371">
        <w:rPr>
          <w:rFonts w:ascii="標楷體" w:hAnsi="標楷體" w:hint="eastAsia"/>
          <w:color w:val="000000" w:themeColor="text1"/>
          <w:szCs w:val="24"/>
        </w:rPr>
        <w:t>對未來之金融政策及市場制度提出具可行性之創新建言，或對已實施之金融政策或市場制度提出有助益建議。</w:t>
      </w:r>
      <w:r w:rsidRPr="00E2764A">
        <w:rPr>
          <w:rFonts w:ascii="標楷體" w:hAnsi="標楷體" w:hint="eastAsia"/>
          <w:color w:val="000000" w:themeColor="text1"/>
          <w:szCs w:val="24"/>
        </w:rPr>
        <w:t>請提出論文</w:t>
      </w:r>
      <w:r w:rsidR="00606365">
        <w:rPr>
          <w:rFonts w:ascii="標楷體" w:hAnsi="標楷體" w:hint="eastAsia"/>
          <w:color w:val="000000" w:themeColor="text1"/>
          <w:szCs w:val="24"/>
        </w:rPr>
        <w:t>對</w:t>
      </w:r>
      <w:r w:rsidRPr="00E2764A">
        <w:rPr>
          <w:rFonts w:ascii="標楷體" w:hAnsi="標楷體" w:hint="eastAsia"/>
          <w:color w:val="000000" w:themeColor="text1"/>
          <w:szCs w:val="24"/>
        </w:rPr>
        <w:t>市場貢獻說明，以供評審委員審查評分。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7853"/>
      </w:tblGrid>
      <w:tr w:rsidR="00EB0D91" w:rsidRPr="00E2764A" w14:paraId="3EFFD131" w14:textId="77777777" w:rsidTr="00EC113B">
        <w:trPr>
          <w:trHeight w:hRule="exact" w:val="600"/>
          <w:jc w:val="center"/>
        </w:trPr>
        <w:tc>
          <w:tcPr>
            <w:tcW w:w="1958" w:type="dxa"/>
            <w:vAlign w:val="center"/>
          </w:tcPr>
          <w:p w14:paraId="7D997AAF" w14:textId="77777777" w:rsidR="00EB0D91" w:rsidRPr="00E2764A" w:rsidRDefault="00EC113B" w:rsidP="00491B2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中文</w:t>
            </w:r>
            <w:r w:rsidR="00EB0D91"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7853" w:type="dxa"/>
            <w:vAlign w:val="center"/>
          </w:tcPr>
          <w:p w14:paraId="0404961F" w14:textId="77777777" w:rsidR="00EB0D91" w:rsidRPr="00E2764A" w:rsidRDefault="00EB0D91" w:rsidP="00EB0D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C113B" w:rsidRPr="00E2764A" w14:paraId="56A7E65C" w14:textId="77777777" w:rsidTr="00EC113B">
        <w:trPr>
          <w:trHeight w:hRule="exact" w:val="573"/>
          <w:jc w:val="center"/>
        </w:trPr>
        <w:tc>
          <w:tcPr>
            <w:tcW w:w="1958" w:type="dxa"/>
            <w:vAlign w:val="center"/>
          </w:tcPr>
          <w:p w14:paraId="77092BE6" w14:textId="77777777" w:rsidR="00EC113B" w:rsidRPr="00E2764A" w:rsidRDefault="00EC113B" w:rsidP="00491B2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英文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7853" w:type="dxa"/>
            <w:vAlign w:val="center"/>
          </w:tcPr>
          <w:p w14:paraId="35E6145C" w14:textId="77777777" w:rsidR="00EC113B" w:rsidRPr="00E2764A" w:rsidRDefault="00EC113B" w:rsidP="00EB0D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4497" w:rsidRPr="00E2764A" w14:paraId="039C2742" w14:textId="77777777" w:rsidTr="001C4681">
        <w:trPr>
          <w:trHeight w:val="1136"/>
          <w:jc w:val="center"/>
        </w:trPr>
        <w:tc>
          <w:tcPr>
            <w:tcW w:w="1958" w:type="dxa"/>
            <w:vAlign w:val="center"/>
          </w:tcPr>
          <w:p w14:paraId="023D4891" w14:textId="77777777" w:rsidR="00284497" w:rsidRDefault="00406D59" w:rsidP="00491B2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 w:rsidR="002844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主題類別</w:t>
            </w:r>
          </w:p>
        </w:tc>
        <w:tc>
          <w:tcPr>
            <w:tcW w:w="7853" w:type="dxa"/>
            <w:vAlign w:val="center"/>
          </w:tcPr>
          <w:p w14:paraId="0415A0CC" w14:textId="63E3DC86" w:rsidR="00284497" w:rsidRPr="00E2764A" w:rsidRDefault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證券發行與交易制度</w:t>
            </w:r>
            <w:r w:rsidR="003B6F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8A2C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A84B0F" w:rsidRPr="00A84B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行為財務學</w:t>
            </w:r>
            <w:r w:rsidR="00F6581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357604BC" w14:textId="17B86377" w:rsidR="00DE37F8" w:rsidRDefault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A2565C" w:rsidRPr="00A256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資產管理</w:t>
            </w:r>
            <w:r w:rsidR="00DE37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 w:rsidR="004504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DE37F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A84B0F" w:rsidRPr="00A84B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永續發展及綠色金融</w:t>
            </w:r>
          </w:p>
          <w:p w14:paraId="547EDDB1" w14:textId="344BE0DC" w:rsidR="0045041A" w:rsidRDefault="00DE37F8" w:rsidP="00FF08A9">
            <w:pPr>
              <w:spacing w:line="276" w:lineRule="auto"/>
              <w:ind w:leftChars="20" w:left="4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（含基金、</w:t>
            </w:r>
            <w:r w:rsidR="0097117B">
              <w:rPr>
                <w:rFonts w:ascii="標楷體" w:eastAsia="標楷體" w:hAnsi="標楷體" w:hint="eastAsia"/>
                <w:color w:val="000000" w:themeColor="text1"/>
                <w:szCs w:val="24"/>
              </w:rPr>
              <w:t>財富</w:t>
            </w:r>
            <w:r w:rsidRPr="0045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管理</w:t>
            </w:r>
            <w:r w:rsidRPr="0045041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、</w:t>
            </w:r>
            <w:r w:rsidRPr="0045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退休基金</w:t>
            </w:r>
            <w:r w:rsidR="0045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45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A84B0F" w:rsidRPr="00A84B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投資人保護</w:t>
            </w:r>
          </w:p>
          <w:p w14:paraId="4CC6557A" w14:textId="1B1B36A0" w:rsidR="00670B09" w:rsidRDefault="00B574A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Pr="003B6F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公司治理</w:t>
            </w:r>
            <w:r w:rsidR="004504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</w:t>
            </w:r>
            <w:r w:rsidR="0045041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4504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數位轉型與資訊安全</w:t>
            </w:r>
          </w:p>
          <w:p w14:paraId="6FCA0FF6" w14:textId="2E1C1745" w:rsidR="003B6F95" w:rsidRDefault="003B6F9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B574A7" w:rsidRPr="00B574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衍生性金融商品</w:t>
            </w:r>
            <w:r w:rsidR="00A256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="00DE37F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A84B0F" w:rsidRPr="00A84B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市場微結構</w:t>
            </w:r>
          </w:p>
          <w:p w14:paraId="35D33B71" w14:textId="2ED91063" w:rsidR="00A2565C" w:rsidRPr="00F65813" w:rsidRDefault="003B6F95" w:rsidP="00A2565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B574A7" w:rsidRPr="00B574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金融風險管理</w:t>
            </w:r>
            <w:r w:rsidR="00A84B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="00B574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32539" w:rsidRPr="00E2764A" w14:paraId="5FB3FCBD" w14:textId="77777777" w:rsidTr="00B9248F">
        <w:trPr>
          <w:trHeight w:val="1136"/>
          <w:jc w:val="center"/>
        </w:trPr>
        <w:tc>
          <w:tcPr>
            <w:tcW w:w="9811" w:type="dxa"/>
            <w:gridSpan w:val="2"/>
            <w:vAlign w:val="center"/>
          </w:tcPr>
          <w:p w14:paraId="189AD437" w14:textId="77777777" w:rsidR="00132539" w:rsidRPr="00E2764A" w:rsidRDefault="00132539" w:rsidP="0013253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請說明參選論文的特色與亮點：</w:t>
            </w:r>
          </w:p>
          <w:p w14:paraId="06CBEF2B" w14:textId="77777777" w:rsidR="00132539" w:rsidRPr="00E2764A" w:rsidRDefault="00132539" w:rsidP="00132539">
            <w:pPr>
              <w:pStyle w:val="ae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市場貢獻或政策意涵</w:t>
            </w: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（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276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</w:t>
            </w: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）</w:t>
            </w:r>
          </w:p>
          <w:p w14:paraId="58A2E60A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7C5FE7EB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06511DDB" w14:textId="77777777" w:rsid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70F31B38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39682A2E" w14:textId="77777777" w:rsidR="00132539" w:rsidRPr="00E2764A" w:rsidRDefault="00132539" w:rsidP="00132539">
            <w:pPr>
              <w:pStyle w:val="ae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中文摘要（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E276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</w:t>
            </w: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）</w:t>
            </w:r>
          </w:p>
          <w:p w14:paraId="6C2703D8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2A2947EC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0CB8EF05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2DB654D4" w14:textId="77777777" w:rsid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46E123D4" w14:textId="77777777" w:rsid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46285B8D" w14:textId="77777777" w:rsidR="00132539" w:rsidRPr="00284497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154CFA68" w14:textId="77777777" w:rsidR="00132539" w:rsidRPr="00E2764A" w:rsidRDefault="00132539" w:rsidP="00132539">
            <w:pPr>
              <w:pStyle w:val="ae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英文摘要（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E276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</w:t>
            </w:r>
            <w:r w:rsidRPr="00E2764A">
              <w:rPr>
                <w:rFonts w:ascii="標楷體" w:eastAsia="標楷體" w:hAnsi="標楷體" w:cs="SimSun" w:hint="eastAsia"/>
                <w:bCs/>
                <w:color w:val="000000" w:themeColor="text1"/>
                <w:spacing w:val="8"/>
                <w:sz w:val="28"/>
                <w:szCs w:val="28"/>
              </w:rPr>
              <w:t>）</w:t>
            </w:r>
          </w:p>
          <w:p w14:paraId="452F1483" w14:textId="77777777" w:rsidR="00132539" w:rsidRPr="00132539" w:rsidRDefault="00132539" w:rsidP="00132539">
            <w:pPr>
              <w:spacing w:line="400" w:lineRule="exact"/>
              <w:rPr>
                <w:rFonts w:ascii="標楷體" w:eastAsia="標楷體" w:hAnsi="標楷體" w:cs="SimSun"/>
                <w:bCs/>
                <w:color w:val="000000" w:themeColor="text1"/>
                <w:spacing w:val="8"/>
                <w:sz w:val="28"/>
                <w:szCs w:val="28"/>
              </w:rPr>
            </w:pPr>
          </w:p>
          <w:p w14:paraId="3A32D04A" w14:textId="77777777" w:rsidR="00132539" w:rsidRDefault="00132539" w:rsidP="00132539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A6D7389" w14:textId="77777777" w:rsidR="00132539" w:rsidRDefault="00132539" w:rsidP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3F621A3" w14:textId="77777777" w:rsidR="00132539" w:rsidRDefault="00132539" w:rsidP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475665E" w14:textId="77777777" w:rsidR="00132539" w:rsidRDefault="00132539" w:rsidP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F90C3CB" w14:textId="77777777" w:rsidR="00A948ED" w:rsidRDefault="00A948ED" w:rsidP="00284497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225DF11E" w14:textId="0351FCBD" w:rsidR="00227698" w:rsidRPr="001B4358" w:rsidRDefault="00113D6F" w:rsidP="001B4358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20"/>
        <w:ind w:leftChars="-1" w:left="-2"/>
        <w:jc w:val="center"/>
        <w:rPr>
          <w:rFonts w:eastAsia="標楷體" w:hint="eastAsia"/>
          <w:color w:val="000000" w:themeColor="text1"/>
          <w:sz w:val="20"/>
        </w:rPr>
      </w:pPr>
      <w:r>
        <w:rPr>
          <w:rFonts w:ascii="標楷體" w:eastAsia="標楷體" w:hAnsi="標楷體" w:hint="eastAsia"/>
          <w:color w:val="000000" w:themeColor="text1"/>
          <w:sz w:val="20"/>
        </w:rPr>
        <w:t>【</w:t>
      </w:r>
      <w:r w:rsidRPr="00E00248">
        <w:rPr>
          <w:rFonts w:eastAsia="標楷體" w:hint="eastAsia"/>
          <w:color w:val="000000" w:themeColor="text1"/>
          <w:sz w:val="20"/>
        </w:rPr>
        <w:t>表格欄位</w:t>
      </w:r>
      <w:r>
        <w:rPr>
          <w:rFonts w:eastAsia="標楷體" w:hint="eastAsia"/>
          <w:color w:val="000000" w:themeColor="text1"/>
          <w:sz w:val="20"/>
        </w:rPr>
        <w:t>請自行擴充</w:t>
      </w:r>
      <w:r>
        <w:rPr>
          <w:rFonts w:ascii="標楷體" w:eastAsia="標楷體" w:hAnsi="標楷體" w:hint="eastAsia"/>
          <w:color w:val="000000" w:themeColor="text1"/>
          <w:sz w:val="20"/>
        </w:rPr>
        <w:t>】</w:t>
      </w:r>
      <w:bookmarkStart w:id="0" w:name="_GoBack"/>
      <w:bookmarkEnd w:id="0"/>
    </w:p>
    <w:sectPr w:rsidR="00227698" w:rsidRPr="001B4358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358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2B8E6-2AF4-4042-BF39-E95117E6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272</Words>
  <Characters>131</Characters>
  <Application>Microsoft Office Word</Application>
  <DocSecurity>0</DocSecurity>
  <Lines>1</Lines>
  <Paragraphs>1</Paragraphs>
  <ScaleCrop>false</ScaleCrop>
  <Company>SFI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262</cp:revision>
  <cp:lastPrinted>2026-01-05T02:56:00Z</cp:lastPrinted>
  <dcterms:created xsi:type="dcterms:W3CDTF">2022-02-14T01:50:00Z</dcterms:created>
  <dcterms:modified xsi:type="dcterms:W3CDTF">2026-01-08T06:48:00Z</dcterms:modified>
</cp:coreProperties>
</file>